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Taylor Singh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20 January 2020.</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Chief Financial Officer (CFO).</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Alex Morgan (General Manager).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Oversee Finance Controller and all financial operations</w:t>
      </w:r>
    </w:p>
    <w:p>
      <w:pPr>
        <w:pStyle w:val="ListParagraph"/>
        <w:numPr>
          <w:ilvl w:val="0"/>
          <w:numId w:val="1"/>
        </w:numPr>
        <w:spacing w:after="80"/>
      </w:pPr>
      <w:r>
        <w:rPr>
          <w:rFonts w:ascii="Open Sans" w:cs="Open Sans" w:eastAsia="Open Sans" w:hAnsi="Open Sans"/>
          <w:sz w:val="22"/>
          <w:szCs w:val="22"/>
        </w:rPr>
        <w:t xml:space="preserve">Manage financial planning, budgeting, and forecasting processes</w:t>
      </w:r>
    </w:p>
    <w:p>
      <w:pPr>
        <w:pStyle w:val="ListParagraph"/>
        <w:numPr>
          <w:ilvl w:val="0"/>
          <w:numId w:val="1"/>
        </w:numPr>
        <w:spacing w:after="80"/>
      </w:pPr>
      <w:r>
        <w:rPr>
          <w:rFonts w:ascii="Open Sans" w:cs="Open Sans" w:eastAsia="Open Sans" w:hAnsi="Open Sans"/>
          <w:sz w:val="22"/>
          <w:szCs w:val="22"/>
        </w:rPr>
        <w:t xml:space="preserve">Ensure accurate and timely financial reporting to executive team and board</w:t>
      </w:r>
    </w:p>
    <w:p>
      <w:pPr>
        <w:pStyle w:val="ListParagraph"/>
        <w:numPr>
          <w:ilvl w:val="0"/>
          <w:numId w:val="1"/>
        </w:numPr>
        <w:spacing w:after="80"/>
      </w:pPr>
      <w:r>
        <w:rPr>
          <w:rFonts w:ascii="Open Sans" w:cs="Open Sans" w:eastAsia="Open Sans" w:hAnsi="Open Sans"/>
          <w:sz w:val="22"/>
          <w:szCs w:val="22"/>
        </w:rPr>
        <w:t xml:space="preserve">Manage cash flow, working capital, and banking relationships</w:t>
      </w:r>
    </w:p>
    <w:p>
      <w:pPr>
        <w:pStyle w:val="ListParagraph"/>
        <w:numPr>
          <w:ilvl w:val="0"/>
          <w:numId w:val="1"/>
        </w:numPr>
        <w:spacing w:after="80"/>
      </w:pPr>
      <w:r>
        <w:rPr>
          <w:rFonts w:ascii="Open Sans" w:cs="Open Sans" w:eastAsia="Open Sans" w:hAnsi="Open Sans"/>
          <w:sz w:val="22"/>
          <w:szCs w:val="22"/>
        </w:rPr>
        <w:t xml:space="preserve">Lead annual audit processes and ensure regulatory compliance across regions</w:t>
      </w:r>
    </w:p>
    <w:p>
      <w:pPr>
        <w:pStyle w:val="ListParagraph"/>
        <w:numPr>
          <w:ilvl w:val="0"/>
          <w:numId w:val="1"/>
        </w:numPr>
        <w:spacing w:after="80"/>
      </w:pPr>
      <w:r>
        <w:rPr>
          <w:rFonts w:ascii="Open Sans" w:cs="Open Sans" w:eastAsia="Open Sans" w:hAnsi="Open Sans"/>
          <w:sz w:val="22"/>
          <w:szCs w:val="22"/>
        </w:rPr>
        <w:t xml:space="preserve">Analyze financial performance across all sales channels and product categories</w:t>
      </w:r>
    </w:p>
    <w:p>
      <w:pPr>
        <w:pStyle w:val="ListParagraph"/>
        <w:numPr>
          <w:ilvl w:val="0"/>
          <w:numId w:val="1"/>
        </w:numPr>
        <w:spacing w:after="80"/>
      </w:pPr>
      <w:r>
        <w:rPr>
          <w:rFonts w:ascii="Open Sans" w:cs="Open Sans" w:eastAsia="Open Sans" w:hAnsi="Open Sans"/>
          <w:sz w:val="22"/>
          <w:szCs w:val="22"/>
        </w:rPr>
        <w:t xml:space="preserve">Provide financial insights on product portfolio performance and profitability</w:t>
      </w:r>
    </w:p>
    <w:p>
      <w:pPr>
        <w:pStyle w:val="ListParagraph"/>
        <w:numPr>
          <w:ilvl w:val="0"/>
          <w:numId w:val="1"/>
        </w:numPr>
        <w:spacing w:after="80"/>
      </w:pPr>
      <w:r>
        <w:rPr>
          <w:rFonts w:ascii="Open Sans" w:cs="Open Sans" w:eastAsia="Open Sans" w:hAnsi="Open Sans"/>
          <w:sz w:val="22"/>
          <w:szCs w:val="22"/>
        </w:rPr>
        <w:t xml:space="preserve">Develop financial models for business expansion and investment decisions</w:t>
      </w:r>
    </w:p>
    <w:p>
      <w:pPr>
        <w:pStyle w:val="ListParagraph"/>
        <w:numPr>
          <w:ilvl w:val="0"/>
          <w:numId w:val="1"/>
        </w:numPr>
        <w:spacing w:after="80"/>
      </w:pPr>
      <w:r>
        <w:rPr>
          <w:rFonts w:ascii="Open Sans" w:cs="Open Sans" w:eastAsia="Open Sans" w:hAnsi="Open Sans"/>
          <w:sz w:val="22"/>
          <w:szCs w:val="22"/>
        </w:rPr>
        <w:t xml:space="preserve">Manage currency risk across multi-continent operations</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$160,000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15%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20 January 2020</w:t>
      </w:r>
    </w:p>
    <w:p>
      <w:pPr>
        <w:spacing w:before="200" w:after="100"/>
      </w:pPr>
      <w:r>
        <w:rPr>
          <w:rFonts w:ascii="Open Sans" w:cs="Open Sans" w:eastAsia="Open Sans" w:hAnsi="Open Sans"/>
          <w:b/>
          <w:bCs/>
          <w:sz w:val="22"/>
          <w:szCs w:val="22"/>
        </w:rPr>
        <w:t xml:space="preserve">SIGNED by TAYLOR SINGH:</w:t>
      </w:r>
    </w:p>
    <w:p>
      <w:pPr>
        <w:spacing w:before="150" w:after="50"/>
      </w:pPr>
      <w:r>
        <w:rPr>
          <w:rFonts w:ascii="Brush Script MT" w:cs="Brush Script MT" w:eastAsia="Brush Script MT" w:hAnsi="Brush Script MT"/>
          <w:i/>
          <w:iCs/>
          <w:color w:val="2C3E50"/>
          <w:sz w:val="28"/>
          <w:szCs w:val="28"/>
        </w:rPr>
        <w:t xml:space="preserve">Taylor Singh</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20 January 2020</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F6022DDF-E3F2-4016-9622-5B5858E67CEE}"/>
</file>

<file path=customXml/itemProps2.xml><?xml version="1.0" encoding="utf-8"?>
<ds:datastoreItem xmlns:ds="http://schemas.openxmlformats.org/officeDocument/2006/customXml" ds:itemID="{9D5577C4-7893-4D8A-B4DB-EF201C813C9E}"/>
</file>

<file path=customXml/itemProps3.xml><?xml version="1.0" encoding="utf-8"?>
<ds:datastoreItem xmlns:ds="http://schemas.openxmlformats.org/officeDocument/2006/customXml" ds:itemID="{5A1DC31A-DD48-468B-9DB1-9963C76DC8E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2026-01-16T09:06:48Z</dcterms:created>
  <dcterms:modified xsi:type="dcterms:W3CDTF">2026-01-16T09:06:48Z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